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江苏省社科应用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研究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精品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外语类课题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外语阅读力服务学习型大国建设研究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大数据驱动的长三角地区外语服务供给研究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外国文学中的海洋书写和共同体理念研究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中华优秀传统文化融入职业外语教学的理论与实践研究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highlight w:val="none"/>
          <w:lang w:val="en-US" w:eastAsia="zh-CN"/>
        </w:rPr>
        <w:t>新时代信息技术与翻译实践融合研究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“四新”背景下外国语言文学类专业建设研究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高质量发展背景下外语跨学科建设研究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新文科建设与大学外语教学改革研究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数字赋能与外语教育教学新生态研究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江苏高校非通用语种学科建设与发展研究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外语学科实践类课程设置及能力培养研究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外语学科虚拟教研室建设的理论与实践研究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智能化多语种语料库平台在教学与科研中的应用研究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职业院校外语教学资源开发与应用研究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外语课程中媒介素养培养路径研究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新时代思政教育融入外语教材创新研究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国际中文教育教材海外传播研究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劳动教育与外语教学融合研究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外语教学学术创新能力培养研究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“双减”背景下英语评价改革的创新与实践研究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高校基础外语教师教育培训模式及内涵研究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“外语+”双学位复合型人才培养模式研究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highlight w:val="none"/>
          <w:lang w:val="en-US" w:eastAsia="zh-CN"/>
        </w:rPr>
        <w:t>学科交叉视域下的国别区域研究</w:t>
      </w:r>
      <w:r>
        <w:rPr>
          <w:rFonts w:hint="eastAsia" w:ascii="方正仿宋_GB2312" w:hAnsi="方正仿宋_GB2312" w:eastAsia="方正仿宋_GB2312" w:cs="方正仿宋_GB2312"/>
          <w:color w:val="0000FF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24.江苏高校外语专业毕业生去向动态研究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25.英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语分级读物的接受与影响研究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36BBAE"/>
    <w:multiLevelType w:val="singleLevel"/>
    <w:tmpl w:val="7336BBA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GJkYWZhZjRiN2JjNjdhMWY0YzY4NTIxNDcwYWUifQ=="/>
  </w:docVars>
  <w:rsids>
    <w:rsidRoot w:val="73377E94"/>
    <w:rsid w:val="160449E3"/>
    <w:rsid w:val="72C60FDD"/>
    <w:rsid w:val="733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472</Characters>
  <Lines>0</Lines>
  <Paragraphs>0</Paragraphs>
  <TotalTime>0</TotalTime>
  <ScaleCrop>false</ScaleCrop>
  <LinksUpToDate>false</LinksUpToDate>
  <CharactersWithSpaces>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2023-03-17T09:57:00Z</dcterms:created>
  <dc:creator>李慧</dc:creator>
  <cp:lastModifiedBy>楠</cp:lastModifiedBy>
  <dcterms:modified xsi:type="dcterms:W3CDTF">2023-03-28T09:45:25Z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B8FB8D7F57F84A64B29B903FDF9C172F</vt:lpwstr>
  </property>
</Properties>
</file>