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2023年度市重点研发计划（前瞻性技术创新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专项）项目指南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楷体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（一）未来数字产业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0" w:lineRule="exact"/>
        <w:ind w:leftChars="0"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color w:val="auto"/>
          <w:sz w:val="32"/>
          <w:szCs w:val="32"/>
          <w:lang w:val="en-US" w:eastAsia="zh-CN"/>
        </w:rPr>
        <w:t xml:space="preserve">1001 </w:t>
      </w:r>
      <w:r>
        <w:rPr>
          <w:rStyle w:val="8"/>
          <w:rFonts w:hint="eastAsia" w:ascii="Times New Roman" w:hAnsi="Times New Roman" w:eastAsia="方正楷体_GBK" w:cs="方正仿宋_GBK"/>
          <w:color w:val="auto"/>
          <w:sz w:val="32"/>
          <w:szCs w:val="32"/>
        </w:rPr>
        <w:t>人工智能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90" w:lineRule="exact"/>
        <w:ind w:leftChars="0" w:firstLine="640" w:firstLineChars="200"/>
        <w:textAlignment w:val="auto"/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/>
          <w:snapToGrid/>
          <w:color w:val="auto"/>
          <w:kern w:val="2"/>
          <w:sz w:val="32"/>
          <w:szCs w:val="32"/>
        </w:rPr>
        <w:t>研发方向：</w:t>
      </w:r>
      <w:r>
        <w:rPr>
          <w:rFonts w:hint="eastAsia" w:ascii="Times New Roman" w:hAnsi="Times New Roman" w:cs="方正仿宋_GBK"/>
          <w:snapToGrid/>
          <w:color w:val="auto"/>
          <w:kern w:val="2"/>
          <w:sz w:val="32"/>
          <w:szCs w:val="32"/>
        </w:rPr>
        <w:t>针对新一代人工智能发展需</w:t>
      </w:r>
      <w:r>
        <w:rPr>
          <w:rFonts w:hint="eastAsia" w:ascii="Times New Roman" w:hAnsi="Times New Roman" w:cs="方正仿宋_GBK"/>
          <w:b w:val="0"/>
          <w:bCs w:val="0"/>
          <w:snapToGrid/>
          <w:color w:val="auto"/>
          <w:kern w:val="2"/>
          <w:sz w:val="32"/>
          <w:szCs w:val="32"/>
        </w:rPr>
        <w:t>要，加强模型算法、系统平台、专用硬件、高端应用等协同创新，加快构筑人工智能先发优势</w:t>
      </w:r>
      <w:r>
        <w:rPr>
          <w:rFonts w:hint="eastAsia" w:ascii="Times New Roman" w:hAnsi="Times New Roman" w:eastAsia="FZFSK--GBK1-0" w:cs="FZFSK--GBK1-0"/>
          <w:b w:val="0"/>
          <w:bCs w:val="0"/>
          <w:snapToGrid/>
          <w:color w:val="auto"/>
          <w:sz w:val="32"/>
          <w:szCs w:val="32"/>
        </w:rPr>
        <w:t>，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重点支持机器学习、自然语言处理、计算机视觉、智能语音等关键核心技术研发；AI 视觉算法、自适应感知、新型交互模态、AI 开源软件等应用关键技术、软件及系统研发；嵌入式人工智能芯片、图形处理器（GPU）芯片、高能效神经网络处理器（</w:t>
      </w:r>
      <w:r>
        <w:rPr>
          <w:rStyle w:val="11"/>
          <w:rFonts w:ascii="Times New Roman" w:hAnsi="Times New Roman"/>
          <w:b w:val="0"/>
          <w:bCs w:val="0"/>
          <w:color w:val="auto"/>
          <w:sz w:val="32"/>
          <w:szCs w:val="32"/>
        </w:rPr>
        <w:t>NPU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）芯片、</w:t>
      </w:r>
      <w:r>
        <w:rPr>
          <w:rStyle w:val="11"/>
          <w:rFonts w:ascii="Times New Roman" w:hAnsi="Times New Roman"/>
          <w:b w:val="0"/>
          <w:bCs w:val="0"/>
          <w:color w:val="auto"/>
          <w:sz w:val="32"/>
          <w:szCs w:val="32"/>
        </w:rPr>
        <w:t xml:space="preserve">AI 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训练推理芯片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highlight w:val="none"/>
          <w:lang w:eastAsia="zh-CN"/>
        </w:rPr>
        <w:t>高端存储芯片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等人工智能专用硬件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模组制造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和封装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技术研发；微型人工智能设备、智能脑机接口、人机协同增强、智能可穿戴设备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highlight w:val="none"/>
          <w:lang w:eastAsia="zh-CN"/>
        </w:rPr>
        <w:t>智能传感设备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等智能终端关键技术研发。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1002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量子信息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方向：紧跟国内外量子科技发展趋势，围绕量子通信技术研发、量子测量技术突破和量子计算的产品研制，重点开展量子密钥分发、量子隐形传态、量子信道共纤复用、量子物联网融合等量子通信技术研发及量子网络构建；实用化量子模拟器、量子计算原型机、量子芯片等量子计算关键技术研发；微波量子计量、量子传感器、量子系统人工精准调控等量子精密测量关键技术研发；量子随机数发生器、单光子探测器、超低损耗光纤、极低温微波链路等核心器件关键技术研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1003 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未来网络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方向：围绕打造未来网络产业的核心竞争力，重点开展确定性网络、算力网络、工业互联网、6G移动通信、漏缆通信技术和海底通信技术等前沿网络通信技术研发；超大容量长距离光通信技术、高速光传输技术、大容量的全光交换技术、高速大容量光传输设备等光通信技术与器件研发；基于IPv6的高速高性能网络和终端设备、智能网络感知设备、专网设备等网络应用技术与设备的研发；基于量子网络的防黑客互联网、工业控制系统防火墙/网闸、主动防御、内生安全、态势感知、加密流量监测、零信任等网络安全技术与设备研发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未来空间产业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2001 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深海空天开发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strike/>
          <w:dstrike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研发方向：重点开展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载人潜器、海洋空间开发装备、深海空间站、海工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船舶及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专用设备、自主化智能控制器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、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深海装备智能集成平台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、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海洋环境检测系统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、海上风电技术及装备等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深海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进入、探测与作业技术装备研究；深海天通北斗通信定位技术与设备开发、深海智能感知、深海信息技术等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深海通信导航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方向的研究；空天信息技术、先进遥感技术、导航定位技术研究；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运载火箭、航天器、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sz w:val="32"/>
          <w:szCs w:val="32"/>
        </w:rPr>
        <w:t>航电设备系统集成、地空通信、空间探测先进光学系统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sz w:val="32"/>
          <w:szCs w:val="32"/>
        </w:rPr>
        <w:t>复合材料和合金材料构件制造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等空天装备制造研究；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auto"/>
          <w:sz w:val="32"/>
          <w:szCs w:val="32"/>
        </w:rPr>
        <w:t>消费型无人机、特种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无人机的材料与装备技术研发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after="0" w:line="590" w:lineRule="exact"/>
        <w:ind w:left="0"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未来能源产业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3001 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氢能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eastAsia="zh-CN"/>
        </w:rPr>
        <w:t>与储能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90" w:lineRule="exact"/>
        <w:ind w:leftChars="0" w:firstLine="640" w:firstLineChars="200"/>
        <w:textAlignment w:val="auto"/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方向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：聚焦</w:t>
      </w:r>
      <w:r>
        <w:rPr>
          <w:rStyle w:val="11"/>
          <w:rFonts w:ascii="Times New Roman" w:hAnsi="Times New Roman"/>
          <w:b w:val="0"/>
          <w:bCs w:val="0"/>
          <w:color w:val="auto"/>
          <w:sz w:val="32"/>
          <w:szCs w:val="32"/>
        </w:rPr>
        <w:t>制氢、储运、氢燃料电池等产业链核心环节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，重点支持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化工副产氢提纯、可再生能源制氢等制氢技术研发；氢气传感器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高安全性低成本储氢、运氢与加氢等氢能储运技术研发；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膜电极、双极板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等氢燃料电池关键技术与材料；氢燃料汽车系统集成、分布式发电系统集成、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氢能源客车整车制备技术等研发；液态金属电池、固态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锂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离子电池、金属空气电池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、重力储能、压缩空气储能、飞轮储能、新型叠层电池、非对称超级电容器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等新一代高能量密度储能技术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研发；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风电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储能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、光伏储能等新能源储能技术与装备研发。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（四）未来材料产业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4001 纳米与智能材料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研发方向：</w:t>
      </w:r>
      <w:r>
        <w:rPr>
          <w:rFonts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面向信息电子、能源转换与存储等重点应用方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向，开展纳米发光材料、大尺寸柔性纳米触控膜、纳米探测与传感器、高转化率纳米催化材料、纳米改性金属、纳米微球</w:t>
      </w:r>
      <w:r>
        <w:rPr>
          <w:rFonts w:hint="eastAsia" w:ascii="Times New Roman" w:hAnsi="Times New Roman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柔性可穿戴电极材料、辐射制冷薄膜材料等新型材料制备与应用关键技术研发。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4002 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第三代半导体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90" w:lineRule="exact"/>
        <w:ind w:leftChars="0" w:firstLine="640" w:firstLineChars="200"/>
        <w:textAlignment w:val="auto"/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研发方向：抢抓第三代半导体材料技术加速兴起的重要机遇，围绕电力电子、射频电子、光电子等关键领域，重点开展碳化硅、氮化镓等宽禁带半导体以及金刚石、氧化镓、氮化铝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、氮化硅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等超宽禁带半导体等材料的制备技术、器件模块应用技术、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芯片封装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技术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、专用装备技术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</w:rPr>
        <w:t>研究。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eastAsia="zh-CN"/>
        </w:rPr>
        <w:t>（五）未来健康产业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5001 细胞和</w:t>
      </w: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</w:rPr>
        <w:t>基因技术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</w:pP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研发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方向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：紧跟</w:t>
      </w:r>
      <w:r>
        <w:rPr>
          <w:rStyle w:val="11"/>
          <w:rFonts w:ascii="Times New Roman" w:hAnsi="Times New Roman"/>
          <w:b w:val="0"/>
          <w:bCs w:val="0"/>
          <w:color w:val="auto"/>
          <w:sz w:val="32"/>
          <w:szCs w:val="32"/>
        </w:rPr>
        <w:t>基因技术行业的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快速发展的</w:t>
      </w:r>
      <w:r>
        <w:rPr>
          <w:rStyle w:val="11"/>
          <w:rFonts w:ascii="Times New Roman" w:hAnsi="Times New Roman"/>
          <w:b w:val="0"/>
          <w:bCs w:val="0"/>
          <w:color w:val="auto"/>
          <w:sz w:val="32"/>
          <w:szCs w:val="32"/>
        </w:rPr>
        <w:t>需求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，围绕基因检测、基因诊断、基因治疗、基因合成、DNA存储等重点领域，重点开展靶向肿瘤细胞等免疫细胞的基因治疗药物研发；cfDNA、ctDNA、CTC基因检测、肿瘤细胞检测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、微生物耐药基因检测、mRNA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等产业技术研发；基于动植物全基因组选择、基因组编辑、细胞工程等育种及产业技术研发；</w:t>
      </w:r>
      <w:r>
        <w:rPr>
          <w:rStyle w:val="11"/>
          <w:rFonts w:hint="eastAsia"/>
          <w:b w:val="0"/>
          <w:bCs w:val="0"/>
          <w:color w:val="auto"/>
          <w:sz w:val="32"/>
          <w:szCs w:val="32"/>
          <w:lang w:eastAsia="zh-CN"/>
        </w:rPr>
        <w:t>遗传疾病模型的构建和药物筛选研发；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</w:rPr>
        <w:t>面向公众的基因分析应用平台研发。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lang w:val="en-US" w:eastAsia="zh-CN"/>
        </w:rPr>
        <w:t>5002 智能医疗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90" w:lineRule="exact"/>
        <w:ind w:leftChars="0" w:firstLine="640" w:firstLineChars="200"/>
        <w:textAlignment w:val="auto"/>
        <w:rPr>
          <w:rStyle w:val="11"/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研发方向：紧跟医疗产业数字化、智能化产业趋势，重点支持</w:t>
      </w:r>
      <w:r>
        <w:rPr>
          <w:rStyle w:val="11"/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生物信息学、量值溯源、超精密医疗器械、多模态融合成像、人体工程学与仿生医学、生物传感、3D生物打印、生物材料改性、辐射表面接枝改性生物材料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等生物技术攻关和产品研发；关键原材料、重要设备耗材等研发；</w:t>
      </w:r>
      <w:r>
        <w:rPr>
          <w:rStyle w:val="11"/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智能型健康监测、远程医疗和康复设备研发</w:t>
      </w:r>
      <w:r>
        <w:rPr>
          <w:rStyle w:val="11"/>
          <w:rFonts w:hint="eastAsia" w:ascii="Times New Roman" w:hAnsi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400" w:lineRule="exact"/>
        <w:jc w:val="both"/>
        <w:rPr>
          <w:rFonts w:eastAsia="方正小标宋_GBK"/>
          <w:sz w:val="36"/>
          <w:szCs w:val="36"/>
          <w:lang w:val="en-US"/>
        </w:rPr>
      </w:pPr>
    </w:p>
    <w:p>
      <w:pPr>
        <w:spacing w:line="400" w:lineRule="exact"/>
        <w:jc w:val="both"/>
        <w:rPr>
          <w:rFonts w:eastAsia="方正小标宋_GBK"/>
          <w:sz w:val="36"/>
          <w:szCs w:val="36"/>
          <w:lang w:val="en-US"/>
        </w:rPr>
        <w:sectPr>
          <w:footerReference r:id="rId3" w:type="default"/>
          <w:pgSz w:w="11906" w:h="16838"/>
          <w:pgMar w:top="1984" w:right="1531" w:bottom="1814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984" w:right="1531" w:bottom="1814" w:left="1531" w:header="851" w:footer="992" w:gutter="0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DE33A"/>
    <w:multiLevelType w:val="singleLevel"/>
    <w:tmpl w:val="447DE3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7E414A91"/>
    <w:rsid w:val="009F03B1"/>
    <w:rsid w:val="0E0A57B2"/>
    <w:rsid w:val="11B31ECF"/>
    <w:rsid w:val="30EB1633"/>
    <w:rsid w:val="32022CFB"/>
    <w:rsid w:val="44471CE6"/>
    <w:rsid w:val="6D686AB5"/>
    <w:rsid w:val="6DEC3CE4"/>
    <w:rsid w:val="7D327DB0"/>
    <w:rsid w:val="7E4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8">
    <w:name w:val="UserStyle_0"/>
    <w:link w:val="9"/>
    <w:qFormat/>
    <w:uiPriority w:val="0"/>
    <w:rPr>
      <w:rFonts w:ascii="Times New Roman" w:hAnsi="Times New Roman" w:eastAsia="宋体"/>
      <w:kern w:val="0"/>
      <w:sz w:val="20"/>
      <w:szCs w:val="24"/>
    </w:rPr>
  </w:style>
  <w:style w:type="paragraph" w:customStyle="1" w:styleId="9">
    <w:name w:val="UserStyle_1"/>
    <w:basedOn w:val="1"/>
    <w:link w:val="8"/>
    <w:qFormat/>
    <w:uiPriority w:val="0"/>
    <w:pPr>
      <w:widowControl/>
      <w:textAlignment w:val="baseline"/>
    </w:pPr>
    <w:rPr>
      <w:rFonts w:ascii="Times New Roman" w:hAnsi="Times New Roman" w:eastAsia="宋体"/>
      <w:kern w:val="0"/>
      <w:sz w:val="20"/>
      <w:szCs w:val="24"/>
    </w:rPr>
  </w:style>
  <w:style w:type="paragraph" w:styleId="10">
    <w:name w:val="List Paragraph"/>
    <w:basedOn w:val="1"/>
    <w:qFormat/>
    <w:uiPriority w:val="34"/>
    <w:pPr>
      <w:autoSpaceDE/>
      <w:autoSpaceDN/>
      <w:snapToGrid/>
      <w:spacing w:line="240" w:lineRule="auto"/>
      <w:ind w:firstLine="200" w:firstLineChars="200"/>
    </w:pPr>
    <w:rPr>
      <w:rFonts w:ascii="Calibri" w:hAnsi="Calibri" w:eastAsia="宋体"/>
      <w:snapToGrid/>
      <w:kern w:val="2"/>
      <w:sz w:val="21"/>
      <w:szCs w:val="22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2023-11-28T02:33:00Z</dcterms:created>
  <dc:creator>张雯</dc:creator>
  <cp:lastModifiedBy>楠</cp:lastModifiedBy>
  <cp:lastPrinted>2023-11-28T06:47:00Z</cp:lastPrinted>
  <dcterms:modified xsi:type="dcterms:W3CDTF">2023-12-07T05:46:12Z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4E3BB907FDC643D096548526E0264F8F_11</vt:lpwstr>
  </property>
</Properties>
</file>